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AE" w:rsidRDefault="00DC06AE" w:rsidP="0084011A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4011A" w:rsidRDefault="0084011A" w:rsidP="0084011A">
      <w:pPr>
        <w:spacing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Termenii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Condițiile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Livrare</w:t>
      </w:r>
      <w:proofErr w:type="spellEnd"/>
    </w:p>
    <w:p w:rsidR="0084011A" w:rsidRDefault="0084011A" w:rsidP="0084011A">
      <w:pPr>
        <w:spacing w:line="24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line="24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Asociaţia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Obştească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Iniţiativa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Pozitivă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:rsidR="0084011A" w:rsidRDefault="0084011A" w:rsidP="0084011A">
      <w:pPr>
        <w:spacing w:after="0" w:line="240" w:lineRule="auto"/>
        <w:ind w:left="284"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Sursele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finanțare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4011A" w:rsidRDefault="0084011A" w:rsidP="0084011A">
      <w:pPr>
        <w:pStyle w:val="a3"/>
        <w:numPr>
          <w:ilvl w:val="0"/>
          <w:numId w:val="1"/>
        </w:numPr>
        <w:spacing w:after="0" w:line="240" w:lineRule="auto"/>
        <w:ind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„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Increasing access to rehabilitation services to drug users/living with HIV,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during&amp;beyond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thepandemic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Acord de grant cu </w:t>
      </w:r>
      <w:proofErr w:type="spellStart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>numărul</w:t>
      </w:r>
      <w:proofErr w:type="spellEnd"/>
      <w:r>
        <w:rPr>
          <w:rFonts w:ascii="Times New Roman" w:hAnsi="Times New Roman" w:cs="Times New Roman"/>
          <w:b/>
          <w:spacing w:val="-3"/>
          <w:sz w:val="24"/>
          <w:szCs w:val="24"/>
          <w:lang w:val="en-US"/>
        </w:rPr>
        <w:t xml:space="preserve"> SMD70020GR0075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semnat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între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sociaţia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Obştească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Iniţiativa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Pozitivă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Joseph M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Geraghty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reprezentant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Ambasadei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S.U.A.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Moldova.</w:t>
      </w:r>
    </w:p>
    <w:p w:rsidR="0084011A" w:rsidRDefault="0084011A" w:rsidP="0084011A">
      <w:pPr>
        <w:pStyle w:val="a3"/>
        <w:numPr>
          <w:ilvl w:val="0"/>
          <w:numId w:val="1"/>
        </w:numPr>
        <w:spacing w:after="0" w:line="240" w:lineRule="auto"/>
        <w:ind w:hanging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Economic Policy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Adviсе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the Moldovan Government, contract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 83359340 din 30.07.2020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semnat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ro-RO"/>
        </w:rPr>
        <w:t>între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sociaţia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Obştească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Iniţiativa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Pozitivă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Agenția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Cooperare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Internațională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Germaniei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(GIZ).</w:t>
      </w:r>
    </w:p>
    <w:p w:rsidR="0084011A" w:rsidRDefault="0084011A" w:rsidP="0084011A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 w:firstLine="426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4011A" w:rsidRDefault="0084011A" w:rsidP="0084011A">
      <w:pPr>
        <w:spacing w:after="0" w:line="276" w:lineRule="auto"/>
        <w:ind w:left="-426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Prețul și termenul de livrare</w:t>
      </w:r>
    </w:p>
    <w:p w:rsidR="0084011A" w:rsidRDefault="0084011A" w:rsidP="0084011A">
      <w:pPr>
        <w:spacing w:after="0" w:line="276" w:lineRule="auto"/>
        <w:ind w:left="-426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</w:p>
    <w:p w:rsidR="0084011A" w:rsidRDefault="0084011A" w:rsidP="0084011A">
      <w:pPr>
        <w:spacing w:after="0"/>
        <w:ind w:left="-426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Lotul nr. 1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675"/>
        <w:gridCol w:w="1296"/>
        <w:gridCol w:w="1307"/>
        <w:gridCol w:w="1478"/>
        <w:gridCol w:w="1454"/>
      </w:tblGrid>
      <w:tr w:rsidR="0084011A" w:rsidRPr="00DC06AE" w:rsidTr="008401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Denumire produs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Cantitatea</w:t>
            </w:r>
          </w:p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(buc.)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MDL</w:t>
            </w:r>
          </w:p>
          <w:p w:rsidR="0084011A" w:rsidRDefault="0084011A">
            <w:pPr>
              <w:spacing w:after="0"/>
              <w:ind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TVA 0%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ind w:left="-107" w:right="-4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Suma totală MDL</w:t>
            </w:r>
          </w:p>
          <w:p w:rsidR="0084011A" w:rsidRDefault="0084011A">
            <w:pPr>
              <w:spacing w:after="0"/>
              <w:ind w:left="-107"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cota TVA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ind w:left="-26" w:firstLine="2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livrare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84011A" w:rsidRDefault="0084011A">
            <w:pPr>
              <w:spacing w:after="0"/>
              <w:ind w:left="-26" w:right="-115"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nu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mult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de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lucrătoare</w:t>
            </w:r>
            <w:proofErr w:type="spellEnd"/>
          </w:p>
        </w:tc>
      </w:tr>
      <w:tr w:rsidR="0084011A" w:rsidTr="008401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4011A" w:rsidTr="008401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Smart TV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84011A" w:rsidRDefault="0084011A" w:rsidP="0084011A">
      <w:pPr>
        <w:pStyle w:val="ChapterNumber"/>
        <w:tabs>
          <w:tab w:val="left" w:pos="7137"/>
        </w:tabs>
        <w:spacing w:after="0"/>
        <w:ind w:left="-426" w:firstLine="426"/>
        <w:rPr>
          <w:b/>
          <w:bCs/>
          <w:i/>
          <w:szCs w:val="24"/>
          <w:lang w:val="ro-RO"/>
        </w:rPr>
      </w:pPr>
    </w:p>
    <w:p w:rsidR="0084011A" w:rsidRDefault="0084011A" w:rsidP="0084011A">
      <w:pPr>
        <w:ind w:left="-426" w:firstLine="426"/>
        <w:rPr>
          <w:lang w:val="ro-RO"/>
        </w:rPr>
      </w:pPr>
    </w:p>
    <w:p w:rsidR="0084011A" w:rsidRDefault="0084011A" w:rsidP="0084011A">
      <w:pPr>
        <w:spacing w:after="0"/>
        <w:ind w:left="-426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Preţul total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Lotul nr. 1 este de: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_______________                semnătura___________________</w:t>
      </w:r>
    </w:p>
    <w:p w:rsidR="0084011A" w:rsidRDefault="0084011A" w:rsidP="0084011A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L.Ș</w:t>
      </w:r>
    </w:p>
    <w:p w:rsidR="0084011A" w:rsidRDefault="0084011A" w:rsidP="0084011A">
      <w:pPr>
        <w:tabs>
          <w:tab w:val="left" w:pos="8475"/>
          <w:tab w:val="left" w:pos="8941"/>
        </w:tabs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84011A" w:rsidRDefault="00DC06AE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Lotul nr.2</w:t>
      </w:r>
    </w:p>
    <w:tbl>
      <w:tblPr>
        <w:tblStyle w:val="a4"/>
        <w:tblW w:w="9777" w:type="dxa"/>
        <w:tblInd w:w="-426" w:type="dxa"/>
        <w:tblLook w:val="04A0" w:firstRow="1" w:lastRow="0" w:firstColumn="1" w:lastColumn="0" w:noHBand="0" w:noVBand="1"/>
      </w:tblPr>
      <w:tblGrid>
        <w:gridCol w:w="563"/>
        <w:gridCol w:w="3540"/>
        <w:gridCol w:w="1296"/>
        <w:gridCol w:w="1401"/>
        <w:gridCol w:w="1418"/>
        <w:gridCol w:w="1559"/>
      </w:tblGrid>
      <w:tr w:rsidR="0084011A" w:rsidRPr="00DC06AE" w:rsidTr="00DC06A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produs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Cantitatea</w:t>
            </w:r>
            <w:proofErr w:type="spellEnd"/>
            <w:r w:rsidR="00DC06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C06A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(buc.)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ind w:lef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Preț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MDL</w:t>
            </w:r>
          </w:p>
          <w:p w:rsidR="0084011A" w:rsidRDefault="0084011A">
            <w:pPr>
              <w:spacing w:line="240" w:lineRule="auto"/>
              <w:ind w:right="-10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TVA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ind w:left="-107" w:right="-42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Suma totală MDL</w:t>
            </w:r>
          </w:p>
          <w:p w:rsidR="0084011A" w:rsidRDefault="0084011A">
            <w:pPr>
              <w:spacing w:line="240" w:lineRule="auto"/>
              <w:ind w:left="-107" w:right="-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la cota TVA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ind w:left="-26" w:firstLine="26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livrare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  <w:p w:rsidR="0084011A" w:rsidRDefault="0084011A">
            <w:pPr>
              <w:spacing w:line="240" w:lineRule="auto"/>
              <w:ind w:left="-26" w:right="-115"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nu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mult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de </w:t>
            </w:r>
            <w:r w:rsidR="00DC06A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>lucrătoare</w:t>
            </w:r>
            <w:proofErr w:type="spellEnd"/>
          </w:p>
        </w:tc>
      </w:tr>
      <w:tr w:rsidR="0084011A" w:rsidTr="00DC06A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conferințe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4011A" w:rsidTr="00DC06A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Speakerphone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de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conferință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A" w:rsidRDefault="008401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4011A" w:rsidRDefault="0084011A" w:rsidP="00DC06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C06AE" w:rsidRDefault="00DC06AE" w:rsidP="00DC06AE">
      <w:pPr>
        <w:spacing w:after="0"/>
        <w:ind w:left="-426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Preţul total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Lotul nr.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este de: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_______________                semnătura___________________</w:t>
      </w:r>
    </w:p>
    <w:p w:rsidR="00DC06AE" w:rsidRDefault="00DC06AE" w:rsidP="00DC06AE">
      <w:pPr>
        <w:spacing w:after="0"/>
        <w:ind w:left="-426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L.Ș</w:t>
      </w:r>
    </w:p>
    <w:p w:rsidR="0084011A" w:rsidRDefault="0084011A" w:rsidP="0084011A">
      <w:pPr>
        <w:tabs>
          <w:tab w:val="left" w:pos="8475"/>
          <w:tab w:val="left" w:pos="8941"/>
        </w:tabs>
        <w:spacing w:after="0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Not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MD"/>
        </w:rPr>
        <w:t xml:space="preserve">ă: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În cazul divergenţilor între preţul unitar şi pre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MD"/>
        </w:rPr>
        <w:t xml:space="preserve">țul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ro-RO"/>
        </w:rPr>
        <w:t>total, corecția se va face conform puctului (iii) alin 8, din Invitația de Participare/Cererea de oferte.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t>Preţul fix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Toate preţurile indicate în ofertă sunt fixe şi rămân neschimbate pe toată perioada executării contractului, achiziția va fi efectuată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la cota Zero TVA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și nu includ, Taxa Vamală și taxa pentru efectuarea procedurilor vamale în Republica Moldova.</w:t>
      </w:r>
    </w:p>
    <w:p w:rsidR="0084011A" w:rsidRDefault="0084011A" w:rsidP="0084011A">
      <w:pPr>
        <w:spacing w:after="0"/>
        <w:ind w:left="-426"/>
        <w:jc w:val="both"/>
        <w:rPr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Țara de origine: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Produsele oferite trebuie să aibă originea în țările membre ale Băncii Mondiale, și este important să </w:t>
      </w:r>
      <w:r w:rsidR="00DC06AE">
        <w:rPr>
          <w:rFonts w:ascii="Times New Roman" w:hAnsi="Times New Roman" w:cs="Times New Roman"/>
          <w:bCs/>
          <w:sz w:val="24"/>
          <w:szCs w:val="24"/>
          <w:lang w:val="ro-RO"/>
        </w:rPr>
        <w:t>fie specificat brandul, țara de origine pentru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fiecare produs.</w:t>
      </w:r>
    </w:p>
    <w:p w:rsidR="00DC06AE" w:rsidRDefault="00DC06AE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Livrarea produselor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bCs/>
          <w:sz w:val="24"/>
          <w:szCs w:val="24"/>
          <w:lang w:val="ro-RO"/>
        </w:rPr>
        <w:t>Termenul de livrare trebuie completat conform tabelului de mai sus.</w:t>
      </w:r>
    </w:p>
    <w:p w:rsidR="0084011A" w:rsidRDefault="0084011A" w:rsidP="00DC0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4011A" w:rsidRDefault="0084011A" w:rsidP="00DC06A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aplicabilă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interpretează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legislația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țării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Moldova).</w:t>
      </w:r>
    </w:p>
    <w:p w:rsidR="00DC06AE" w:rsidRDefault="00DC06AE" w:rsidP="00DC06AE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Soluționarea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diferendelor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eforturile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rezolva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amiabilă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negociere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informale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dezacord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dispută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legătură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litigiu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diferendul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soluționat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legislației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țării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4011A" w:rsidRDefault="0084011A" w:rsidP="0084011A">
      <w:pPr>
        <w:spacing w:after="0"/>
        <w:ind w:left="-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>
        <w:rPr>
          <w:rFonts w:ascii="Times New Roman" w:hAnsi="Times New Roman"/>
          <w:sz w:val="24"/>
          <w:szCs w:val="24"/>
          <w:u w:val="single"/>
          <w:lang w:val="ro-RO"/>
        </w:rPr>
        <w:t xml:space="preserve">Plata </w:t>
      </w:r>
      <w:r>
        <w:rPr>
          <w:rFonts w:ascii="Times New Roman" w:hAnsi="Times New Roman"/>
          <w:sz w:val="24"/>
          <w:szCs w:val="24"/>
          <w:lang w:val="ro-RO"/>
        </w:rPr>
        <w:t xml:space="preserve">va fi efectuată de către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în lei moldoveneşti, prin transfer de 100% în termen de 3 zile lucrătoare după recepționarea bunurilor.</w:t>
      </w:r>
    </w:p>
    <w:p w:rsidR="0084011A" w:rsidRDefault="0084011A" w:rsidP="0084011A">
      <w:pPr>
        <w:spacing w:after="0"/>
        <w:ind w:left="-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4011A" w:rsidRDefault="0084011A" w:rsidP="0084011A">
      <w:pPr>
        <w:spacing w:after="0"/>
        <w:ind w:left="-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8. </w:t>
      </w:r>
      <w:r>
        <w:rPr>
          <w:rFonts w:ascii="Times New Roman" w:hAnsi="Times New Roman"/>
          <w:sz w:val="24"/>
          <w:szCs w:val="24"/>
          <w:u w:val="single"/>
          <w:lang w:val="ro-RO"/>
        </w:rPr>
        <w:t>Recepţia produselor</w:t>
      </w:r>
      <w:r>
        <w:rPr>
          <w:rFonts w:ascii="Times New Roman" w:hAnsi="Times New Roman"/>
          <w:sz w:val="24"/>
          <w:szCs w:val="24"/>
          <w:lang w:val="ro-RO"/>
        </w:rPr>
        <w:t xml:space="preserve"> se va face la destinaţia finală indicată, prin semnarea actului de predare-primire de către reprezentantul autorizat al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 Pozitivă</w:t>
      </w:r>
      <w:r>
        <w:rPr>
          <w:rFonts w:ascii="Times New Roman" w:hAnsi="Times New Roman"/>
          <w:bCs/>
          <w:sz w:val="24"/>
          <w:szCs w:val="24"/>
          <w:lang w:val="ro-RO"/>
        </w:rPr>
        <w:t>”.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Dacă produsul nu corespunde specificaţiilor, cumpărătorul are dreptul să îl respingă, iar furnizorul are obligaţia, fără a modifica preţul contractului:</w:t>
      </w:r>
    </w:p>
    <w:p w:rsidR="0084011A" w:rsidRDefault="0084011A" w:rsidP="0084011A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 a înlocui produsele furnizate, sau</w:t>
      </w:r>
    </w:p>
    <w:p w:rsidR="0084011A" w:rsidRDefault="0084011A" w:rsidP="0084011A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 a face toate modificările necesare pentru ca produsele să corespundă specificaţiilor tehnice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4011A" w:rsidRDefault="0084011A" w:rsidP="0084011A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Furnizorul va transmite către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A.O.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„</w:t>
      </w:r>
      <w:r>
        <w:rPr>
          <w:rFonts w:ascii="Times New Roman" w:hAnsi="Times New Roman"/>
          <w:bCs/>
          <w:sz w:val="24"/>
          <w:szCs w:val="24"/>
          <w:lang w:val="ro-RO"/>
        </w:rPr>
        <w:t>Ini</w:t>
      </w:r>
      <w:r>
        <w:rPr>
          <w:rFonts w:ascii="Times New Roman" w:hAnsi="Times New Roman"/>
          <w:bCs/>
          <w:sz w:val="24"/>
          <w:szCs w:val="24"/>
          <w:lang w:val="ro-MD"/>
        </w:rPr>
        <w:t>țiativa Pozitivă</w:t>
      </w:r>
      <w:r>
        <w:rPr>
          <w:rFonts w:ascii="Times New Roman" w:hAnsi="Times New Roman"/>
          <w:bCs/>
          <w:sz w:val="24"/>
          <w:szCs w:val="24"/>
          <w:lang w:val="ro-RO"/>
        </w:rPr>
        <w:t>”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documentele care însoţesc produsele:</w:t>
      </w:r>
    </w:p>
    <w:p w:rsidR="0084011A" w:rsidRDefault="0084011A" w:rsidP="0084011A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Factura conform comenzii.  </w:t>
      </w:r>
    </w:p>
    <w:p w:rsidR="0084011A" w:rsidRDefault="0084011A" w:rsidP="0084011A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Act de predare-primire, etc.</w:t>
      </w:r>
    </w:p>
    <w:p w:rsidR="0084011A" w:rsidRDefault="0084011A" w:rsidP="0084011A">
      <w:pPr>
        <w:numPr>
          <w:ilvl w:val="0"/>
          <w:numId w:val="2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Documentele de suport.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acoperite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valabilitate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indicațiilor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acceptare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rugăm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detaliu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cerințele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producătorului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Producătorului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marfa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11A" w:rsidRDefault="0084011A" w:rsidP="0084011A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Ambalarea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Instrucțiuni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marcare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ambalarea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standard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mărfurilor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deteriorarea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manipulări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tranzitului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transportării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destinația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Contract. </w:t>
      </w:r>
      <w:r>
        <w:rPr>
          <w:rFonts w:ascii="Times New Roman" w:hAnsi="Times New Roman" w:cs="Times New Roman"/>
          <w:sz w:val="24"/>
          <w:szCs w:val="24"/>
          <w:lang w:val="ro-RO"/>
        </w:rPr>
        <w:t>Ambalarea nu va fi imputată Cumpărătorului drept cost suplimentar.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Defecte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defectele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corectate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cost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DC06AE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notificării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11A" w:rsidRDefault="0084011A" w:rsidP="0084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DC06AE">
      <w:pPr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Force-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penalități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neplată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C06AE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6A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6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6AE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6A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 care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întârzierea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neîndeplinire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eveniment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4011A" w:rsidRDefault="0084011A" w:rsidP="0084011A">
      <w:pPr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scopurile acestei clauze,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forță majoră” înseamnă un eveniment în afara controlului furnizorului și care nu implică vina sau neglijența furnizorului și nu poate fi previzibi.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evenimente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pot include,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capacitățile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suverane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războaie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revoluții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incendii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inundații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epidemii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restricții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carantină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embargouri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transport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marfă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F7E68" w:rsidRDefault="0084011A" w:rsidP="000F7E68">
      <w:pPr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notifica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prompt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situație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6AE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6A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6AE">
        <w:rPr>
          <w:rFonts w:ascii="Times New Roman" w:hAnsi="Times New Roman" w:cs="Times New Roman"/>
          <w:sz w:val="24"/>
          <w:szCs w:val="24"/>
          <w:lang w:val="en-US"/>
        </w:rPr>
        <w:t>cauza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06AE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="00DC06AE">
        <w:rPr>
          <w:rFonts w:ascii="Times New Roman" w:hAnsi="Times New Roman" w:cs="Times New Roman"/>
          <w:sz w:val="24"/>
          <w:szCs w:val="24"/>
          <w:lang w:val="en-US"/>
        </w:rPr>
        <w:t>,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excepția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continua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îndeplinească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contract,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practic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rezonabil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alternative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rezonabile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împiedicate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evenimentul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rezolvare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obligațiunilor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F7E68" w:rsidRPr="000F7E68" w:rsidRDefault="000F7E68" w:rsidP="000F7E68">
      <w:pPr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4011A" w:rsidRDefault="0084011A" w:rsidP="0084011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14.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Specificații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tehnice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necesare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Descriere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Generală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nefolosite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încorporează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îmbunătățirile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recente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excepția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prevede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specificații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(ii)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Detalii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standarde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conform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Anexei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Termenii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Condiții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Livrare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confirmă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respectarea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specificațiilor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sus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cazul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abaterilor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furnizorul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lista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toate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aceste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abateri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).  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Neexecutarea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Cumpărătorul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poate anula contractul dacă Furnizorul nu livrează produsul în conformitate cu termenii şi condiţiile de mai sus, după o notificare prealabilă de zece (10) zile primită de la Cumpărător, fără a avea vreo obligaţie faţă de Furnizor.</w:t>
      </w: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011A" w:rsidRDefault="0084011A" w:rsidP="0084011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Întârzieri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În cazul în care Furnizorul nu livrează oricare sau toate produsele către data livrării sau va efectua serviciile conexe în perioada specificată în Contract, cumpărătorul poate, fără a aduce atingere tuturor celorlalte prevederi ale contractului, deduce din prețul contractului, în calitate de daune, o sumă echivalentă cu 0,1% din valoarea MĂRFII sau a serviciilor neonorate pentru fiecare zi de întârziere până la livrarea/prestarea efectivă al acestora,</w:t>
      </w:r>
      <w:r>
        <w:rPr>
          <w:rFonts w:ascii="Times New Roman" w:eastAsia="Calibri" w:hAnsi="Times New Roman" w:cs="Times New Roman"/>
          <w:color w:val="1F4E79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nivelul maxim al deducerilor nedepășind  cumulativ 10% din suma totală a contractului.</w:t>
      </w: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Frauda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corupția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de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ofertanții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contractorii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agenții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declarate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nu), personal,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subcontractori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sub-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consultanți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finanțate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înalt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standard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etică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achiziției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contracte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Cod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scop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Reprezentanți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-un mod transparent,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responsabil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onest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legilor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reglementărilor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concurența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recunoscute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practici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detaliat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găsite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web:  http://www.theglobalfund.org/en/governance/  </w:t>
      </w:r>
    </w:p>
    <w:p w:rsidR="0084011A" w:rsidRDefault="0084011A" w:rsidP="0084011A">
      <w:pPr>
        <w:spacing w:before="120" w:after="12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ofertant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confirmăm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Conduită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cum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menționează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17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noastră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asumăm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acțiunile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întreprinse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achiziții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____________________________________________________   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____________________________________________                                                              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autorizată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__________________________________________                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semnatarului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_________________________________    </w:t>
      </w:r>
    </w:p>
    <w:p w:rsidR="0084011A" w:rsidRDefault="0084011A" w:rsidP="0084011A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4011A">
          <w:pgSz w:w="11906" w:h="16838"/>
          <w:pgMar w:top="142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en-US"/>
        </w:rPr>
        <w:t>Data: ______________________     L.Ş</w:t>
      </w:r>
    </w:p>
    <w:p w:rsidR="008F26AF" w:rsidRPr="0084011A" w:rsidRDefault="008F26AF">
      <w:pPr>
        <w:rPr>
          <w:lang w:val="en-US"/>
        </w:rPr>
      </w:pPr>
    </w:p>
    <w:sectPr w:rsidR="008F26AF" w:rsidRPr="00840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664F"/>
    <w:multiLevelType w:val="hybridMultilevel"/>
    <w:tmpl w:val="F3BAADB2"/>
    <w:lvl w:ilvl="0" w:tplc="59F0DAD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2583"/>
    <w:multiLevelType w:val="hybridMultilevel"/>
    <w:tmpl w:val="9ACCEA8E"/>
    <w:lvl w:ilvl="0" w:tplc="072C6D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7C"/>
    <w:rsid w:val="000F7E68"/>
    <w:rsid w:val="005E1A7C"/>
    <w:rsid w:val="0084011A"/>
    <w:rsid w:val="008F26AF"/>
    <w:rsid w:val="00D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F1BD"/>
  <w15:chartTrackingRefBased/>
  <w15:docId w15:val="{50F79C31-7E58-40BB-B9F1-6367ED3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11A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11A"/>
    <w:pPr>
      <w:ind w:left="720"/>
      <w:contextualSpacing/>
    </w:pPr>
  </w:style>
  <w:style w:type="paragraph" w:customStyle="1" w:styleId="ChapterNumber">
    <w:name w:val="ChapterNumber"/>
    <w:basedOn w:val="a"/>
    <w:next w:val="a"/>
    <w:rsid w:val="0084011A"/>
    <w:pPr>
      <w:spacing w:after="36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4">
    <w:name w:val="Table Grid"/>
    <w:basedOn w:val="a1"/>
    <w:uiPriority w:val="59"/>
    <w:rsid w:val="0084011A"/>
    <w:pPr>
      <w:spacing w:after="0" w:line="240" w:lineRule="auto"/>
    </w:pPr>
    <w:rPr>
      <w:rFonts w:ascii="Calibri" w:eastAsia="Calibri" w:hAnsi="Calibri" w:cs="Calibri"/>
      <w:color w:val="00000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2020-08-11T14:17:00Z</dcterms:created>
  <dcterms:modified xsi:type="dcterms:W3CDTF">2020-08-24T12:12:00Z</dcterms:modified>
</cp:coreProperties>
</file>